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449F" w:rsidRDefault="00A1180C">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13449F" w:rsidRDefault="00A1180C">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13449F" w:rsidRDefault="00A1180C">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13449F" w:rsidRDefault="00A1180C">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13449F" w:rsidRDefault="00A1180C">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13449F" w:rsidRDefault="00A1180C">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13449F" w:rsidRDefault="00A1180C">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13449F" w:rsidRDefault="00A1180C">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13449F" w:rsidRDefault="00A1180C">
      <w:pPr>
        <w:rPr>
          <w:rFonts w:ascii="Arial" w:eastAsia="Arial" w:hAnsi="Arial"/>
          <w:sz w:val="24"/>
          <w:szCs w:val="24"/>
        </w:rPr>
      </w:pPr>
      <w:r>
        <w:rPr>
          <w:rFonts w:ascii="Arial" w:eastAsia="Arial" w:hAnsi="Arial"/>
          <w:sz w:val="24"/>
          <w:szCs w:val="24"/>
        </w:rPr>
        <w:t>Part E (dealing with staff transfer on exit) shall apply to every Contract.</w:t>
      </w:r>
    </w:p>
    <w:p w:rsidR="0013449F" w:rsidRDefault="00A1180C">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rsidR="0013449F" w:rsidRDefault="0013449F">
      <w:pPr>
        <w:keepNext/>
        <w:pBdr>
          <w:top w:val="nil"/>
          <w:left w:val="nil"/>
          <w:bottom w:val="nil"/>
          <w:right w:val="nil"/>
          <w:between w:val="nil"/>
        </w:pBdr>
        <w:rPr>
          <w:rFonts w:ascii="Arial" w:eastAsia="Arial" w:hAnsi="Arial"/>
          <w:b/>
          <w:smallCaps/>
          <w:color w:val="000000"/>
          <w:sz w:val="24"/>
          <w:szCs w:val="24"/>
        </w:rPr>
      </w:pPr>
    </w:p>
    <w:p w:rsidR="0013449F" w:rsidRDefault="00A1180C">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13449F" w:rsidRDefault="00A1180C">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13449F">
        <w:tc>
          <w:tcPr>
            <w:tcW w:w="2917" w:type="dxa"/>
          </w:tcPr>
          <w:p w:rsidR="0013449F" w:rsidRDefault="00A1180C">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13449F" w:rsidRDefault="00A1180C">
            <w:pPr>
              <w:numPr>
                <w:ilvl w:val="0"/>
                <w:numId w:val="8"/>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13449F" w:rsidRDefault="0013449F">
            <w:pPr>
              <w:numPr>
                <w:ilvl w:val="0"/>
                <w:numId w:val="8"/>
              </w:numPr>
              <w:tabs>
                <w:tab w:val="left" w:pos="-179"/>
                <w:tab w:val="left" w:pos="-9"/>
              </w:tabs>
              <w:spacing w:after="120"/>
              <w:rPr>
                <w:rFonts w:ascii="Arial" w:eastAsia="Arial" w:hAnsi="Arial"/>
                <w:sz w:val="24"/>
                <w:szCs w:val="24"/>
              </w:rPr>
            </w:pPr>
          </w:p>
        </w:tc>
      </w:tr>
      <w:tr w:rsidR="0013449F">
        <w:tc>
          <w:tcPr>
            <w:tcW w:w="2917" w:type="dxa"/>
          </w:tcPr>
          <w:p w:rsidR="0013449F" w:rsidRDefault="00A1180C">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13449F" w:rsidRDefault="00A1180C">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13449F" w:rsidRDefault="00A1180C">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13449F">
        <w:tc>
          <w:tcPr>
            <w:tcW w:w="2917" w:type="dxa"/>
          </w:tcPr>
          <w:p w:rsidR="0013449F" w:rsidRDefault="0013449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13449F" w:rsidRDefault="00A1180C">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13449F">
        <w:tc>
          <w:tcPr>
            <w:tcW w:w="2917" w:type="dxa"/>
          </w:tcPr>
          <w:p w:rsidR="0013449F" w:rsidRDefault="0013449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13449F" w:rsidRDefault="00A1180C">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13449F">
        <w:tc>
          <w:tcPr>
            <w:tcW w:w="2917" w:type="dxa"/>
          </w:tcPr>
          <w:p w:rsidR="0013449F" w:rsidRDefault="0013449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13449F" w:rsidRDefault="00A1180C">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13449F">
        <w:tc>
          <w:tcPr>
            <w:tcW w:w="2917" w:type="dxa"/>
          </w:tcPr>
          <w:p w:rsidR="0013449F" w:rsidRDefault="0013449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13449F" w:rsidRDefault="00A1180C">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13449F">
        <w:tc>
          <w:tcPr>
            <w:tcW w:w="2917" w:type="dxa"/>
          </w:tcPr>
          <w:p w:rsidR="0013449F" w:rsidRDefault="0013449F">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13449F" w:rsidRDefault="00A1180C">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13449F">
        <w:tc>
          <w:tcPr>
            <w:tcW w:w="2917" w:type="dxa"/>
          </w:tcPr>
          <w:p w:rsidR="0013449F" w:rsidRDefault="0013449F">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13449F" w:rsidRDefault="00A1180C">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13449F" w:rsidRDefault="00A1180C">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13449F">
        <w:trPr>
          <w:trHeight w:val="3560"/>
        </w:trPr>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13449F" w:rsidRDefault="00A1180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13449F" w:rsidRDefault="00A1180C">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13449F" w:rsidRDefault="00A1180C">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13449F">
        <w:trPr>
          <w:trHeight w:val="1824"/>
        </w:trPr>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13449F" w:rsidRDefault="00A1180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13449F" w:rsidRDefault="00A1180C">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13449F" w:rsidRDefault="00A1180C">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13449F" w:rsidRDefault="00A1180C">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13449F">
        <w:tc>
          <w:tcPr>
            <w:tcW w:w="2917" w:type="dxa"/>
          </w:tcPr>
          <w:p w:rsidR="0013449F" w:rsidRDefault="00A1180C">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13449F" w:rsidRDefault="00A1180C">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13449F" w:rsidRDefault="00A1180C">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13449F">
        <w:tc>
          <w:tcPr>
            <w:tcW w:w="2917" w:type="dxa"/>
          </w:tcPr>
          <w:p w:rsidR="0013449F" w:rsidRDefault="0013449F">
            <w:pPr>
              <w:pBdr>
                <w:top w:val="nil"/>
                <w:left w:val="nil"/>
                <w:bottom w:val="nil"/>
                <w:right w:val="nil"/>
                <w:between w:val="nil"/>
              </w:pBdr>
              <w:spacing w:before="120" w:after="120"/>
              <w:ind w:left="709"/>
              <w:rPr>
                <w:rFonts w:ascii="Arial" w:eastAsia="Arial" w:hAnsi="Arial"/>
                <w:b/>
                <w:color w:val="000000"/>
                <w:sz w:val="24"/>
                <w:szCs w:val="24"/>
              </w:rPr>
            </w:pPr>
          </w:p>
          <w:p w:rsidR="0013449F" w:rsidRDefault="0013449F">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13449F" w:rsidRDefault="00A1180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13449F" w:rsidRDefault="00A1180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13449F" w:rsidRDefault="00A1180C">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13449F" w:rsidRDefault="00A1180C">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13449F" w:rsidRDefault="00A1180C">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13449F">
        <w:tc>
          <w:tcPr>
            <w:tcW w:w="2917" w:type="dxa"/>
          </w:tcPr>
          <w:p w:rsidR="0013449F" w:rsidRDefault="00A1180C">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13449F" w:rsidRDefault="00A1180C">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rsidR="0013449F" w:rsidRDefault="00A1180C">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13449F" w:rsidRDefault="00A1180C">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13449F" w:rsidRDefault="00A1180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13449F" w:rsidRDefault="00A1180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13449F" w:rsidRDefault="00A1180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rsidR="0013449F" w:rsidRDefault="00A1180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rsidR="0013449F" w:rsidRDefault="00A1180C">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13449F" w:rsidRDefault="00A1180C" w:rsidP="00A1180C">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13449F" w:rsidRDefault="0013449F" w:rsidP="00A1180C">
      <w:pPr>
        <w:spacing w:after="0" w:line="259" w:lineRule="auto"/>
        <w:rPr>
          <w:rFonts w:ascii="Arial" w:eastAsia="Arial" w:hAnsi="Arial"/>
          <w:sz w:val="24"/>
          <w:szCs w:val="24"/>
        </w:rPr>
      </w:pPr>
    </w:p>
    <w:p w:rsidR="0013449F" w:rsidRPr="00A1180C" w:rsidRDefault="00A1180C" w:rsidP="00A1180C">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13449F" w:rsidRDefault="00A1180C">
      <w:pPr>
        <w:numPr>
          <w:ilvl w:val="1"/>
          <w:numId w:val="15"/>
        </w:numPr>
        <w:spacing w:after="0" w:line="259" w:lineRule="auto"/>
        <w:rPr>
          <w:rFonts w:ascii="Arial" w:eastAsia="Arial" w:hAnsi="Arial"/>
          <w:sz w:val="24"/>
          <w:szCs w:val="24"/>
        </w:rPr>
      </w:pPr>
      <w:r>
        <w:rPr>
          <w:rFonts w:ascii="Arial" w:eastAsia="Arial" w:hAnsi="Arial"/>
          <w:sz w:val="24"/>
          <w:szCs w:val="24"/>
        </w:rPr>
        <w:t>Part D (Pensions)</w:t>
      </w:r>
    </w:p>
    <w:p w:rsidR="0013449F" w:rsidRDefault="00A1180C">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D4 (Other Schemes)</w:t>
      </w:r>
    </w:p>
    <w:p w:rsidR="0013449F" w:rsidRDefault="00A1180C">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13449F" w:rsidRDefault="0013449F">
      <w:pPr>
        <w:ind w:left="357"/>
        <w:rPr>
          <w:rFonts w:ascii="Arial" w:eastAsia="Arial" w:hAnsi="Arial"/>
          <w:sz w:val="24"/>
          <w:szCs w:val="24"/>
        </w:rPr>
      </w:pPr>
    </w:p>
    <w:p w:rsidR="00A1180C" w:rsidRDefault="00A1180C">
      <w:pPr>
        <w:pStyle w:val="Heading1"/>
        <w:keepNext/>
        <w:jc w:val="both"/>
      </w:pPr>
      <w:r>
        <w:br w:type="page"/>
      </w:r>
      <w:r w:rsidRPr="00A1180C">
        <w:rPr>
          <w:rFonts w:ascii="Arial" w:hAnsi="Arial" w:cs="Arial"/>
          <w:sz w:val="36"/>
          <w:szCs w:val="36"/>
          <w:u w:val="single"/>
        </w:rPr>
        <w:lastRenderedPageBreak/>
        <w:t>NOT USED</w:t>
      </w:r>
      <w:r>
        <w:t xml:space="preserve"> </w:t>
      </w:r>
    </w:p>
    <w:p w:rsidR="0013449F" w:rsidRDefault="00A1180C">
      <w:pPr>
        <w:pStyle w:val="Heading1"/>
        <w:keepNext/>
        <w:jc w:val="both"/>
        <w:rPr>
          <w:rFonts w:ascii="Arial Bold" w:eastAsia="Arial Bold" w:hAnsi="Arial Bold" w:cs="Arial Bold"/>
          <w:sz w:val="36"/>
          <w:szCs w:val="36"/>
        </w:rPr>
      </w:pPr>
      <w:r>
        <w:rPr>
          <w:rFonts w:ascii="Arial Bold" w:eastAsia="Arial Bold" w:hAnsi="Arial Bold" w:cs="Arial Bold"/>
          <w:sz w:val="36"/>
          <w:szCs w:val="36"/>
        </w:rPr>
        <w:t xml:space="preserve">Part A: Staff Transfer at the Start Date </w:t>
      </w:r>
    </w:p>
    <w:p w:rsidR="0013449F" w:rsidRDefault="00A1180C">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13449F" w:rsidRDefault="00A1180C">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13449F" w:rsidRDefault="00A1180C">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rsidR="0013449F" w:rsidRDefault="00A1180C">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13449F" w:rsidRDefault="00A1180C">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13449F" w:rsidRDefault="00A1180C">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Buyer is contractually bound to honour;</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3449F" w:rsidRDefault="00A1180C">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13449F" w:rsidRDefault="00A1180C">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w:t>
      </w:r>
      <w:r>
        <w:rPr>
          <w:rFonts w:ascii="Arial" w:eastAsia="Arial" w:hAnsi="Arial"/>
          <w:color w:val="000000"/>
          <w:sz w:val="24"/>
          <w:szCs w:val="24"/>
        </w:rPr>
        <w:lastRenderedPageBreak/>
        <w:t xml:space="preserve">Supplier or any Subcontractor whether occurring or having its origin before, on or after the Relevant Transfer Date including any Employee Liabilities: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13449F" w:rsidRDefault="0013449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rsidR="0013449F" w:rsidRDefault="0013449F">
      <w:pPr>
        <w:pBdr>
          <w:top w:val="nil"/>
          <w:left w:val="nil"/>
          <w:bottom w:val="nil"/>
          <w:right w:val="nil"/>
          <w:between w:val="nil"/>
        </w:pBdr>
        <w:spacing w:before="120" w:after="120"/>
        <w:ind w:left="2214" w:hanging="1080"/>
        <w:rPr>
          <w:rFonts w:ascii="Arial" w:eastAsia="Arial" w:hAnsi="Arial"/>
          <w:color w:val="000000"/>
          <w:sz w:val="24"/>
          <w:szCs w:val="24"/>
        </w:rPr>
      </w:pPr>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13449F" w:rsidRDefault="00A1180C">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13449F" w:rsidRDefault="00A1180C">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13449F" w:rsidRDefault="00A1180C">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13449F" w:rsidRDefault="00A1180C">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13449F" w:rsidRDefault="00A1180C">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13449F" w:rsidRDefault="00A1180C">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rsidR="0013449F" w:rsidRDefault="00A1180C">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13449F" w:rsidRDefault="00A1180C">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13449F" w:rsidRDefault="00A1180C">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3449F" w:rsidRDefault="00A1180C">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13449F" w:rsidRDefault="00A1180C">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13449F" w:rsidRDefault="00A1180C">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13449F" w:rsidRDefault="00A1180C">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13449F" w:rsidRDefault="00A1180C">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13449F" w:rsidRDefault="0013449F">
      <w:pPr>
        <w:pBdr>
          <w:top w:val="nil"/>
          <w:left w:val="nil"/>
          <w:bottom w:val="nil"/>
          <w:right w:val="nil"/>
          <w:between w:val="nil"/>
        </w:pBdr>
        <w:spacing w:before="120" w:after="120"/>
        <w:ind w:left="2214" w:hanging="1080"/>
        <w:rPr>
          <w:rFonts w:eastAsia="Calibri" w:cs="Calibri"/>
          <w:color w:val="000000"/>
        </w:rPr>
      </w:pPr>
    </w:p>
    <w:p w:rsidR="0013449F" w:rsidRDefault="00A1180C">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13449F" w:rsidRDefault="00A1180C">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13449F" w:rsidRDefault="00A1180C">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13449F" w:rsidRDefault="00A1180C">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13449F" w:rsidRDefault="00A1180C">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13449F" w:rsidRDefault="00A1180C">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13449F" w:rsidRDefault="00A1180C">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13449F" w:rsidRDefault="00A1180C">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Regulations.</w:t>
      </w:r>
    </w:p>
    <w:p w:rsidR="0013449F" w:rsidRDefault="0013449F">
      <w:pPr>
        <w:pBdr>
          <w:top w:val="nil"/>
          <w:left w:val="nil"/>
          <w:bottom w:val="nil"/>
          <w:right w:val="nil"/>
          <w:between w:val="nil"/>
        </w:pBdr>
        <w:spacing w:before="120" w:after="120"/>
        <w:ind w:left="2214" w:hanging="1080"/>
        <w:rPr>
          <w:rFonts w:eastAsia="Calibri" w:cs="Calibri"/>
          <w:color w:val="000000"/>
        </w:rPr>
      </w:pP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Paragraph 2.3.2 is accepted, or if the situation has otherwise been resolved by the Former Supplier and/or the Buyer, the Supplier shall, or shall procure that the Subcontractor </w:t>
      </w:r>
      <w:proofErr w:type="gramStart"/>
      <w:r>
        <w:rPr>
          <w:rFonts w:ascii="Arial" w:eastAsia="Arial" w:hAnsi="Arial"/>
          <w:color w:val="000000"/>
          <w:sz w:val="24"/>
          <w:szCs w:val="24"/>
        </w:rPr>
        <w:t>shall,  immediately</w:t>
      </w:r>
      <w:proofErr w:type="gramEnd"/>
      <w:r>
        <w:rPr>
          <w:rFonts w:ascii="Arial" w:eastAsia="Arial" w:hAnsi="Arial"/>
          <w:color w:val="000000"/>
          <w:sz w:val="24"/>
          <w:szCs w:val="24"/>
        </w:rPr>
        <w:t xml:space="preserve"> release the person from his/her employment or alleged employment.</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13449F" w:rsidRDefault="00A1180C">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13449F" w:rsidRDefault="00A1180C">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13449F" w:rsidRDefault="00A1180C">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13449F" w:rsidRDefault="00A1180C">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13449F" w:rsidRDefault="00A1180C">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13449F" w:rsidRDefault="00A1180C">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13449F" w:rsidRDefault="00A1180C">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13449F" w:rsidRDefault="00A1180C">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13449F" w:rsidRDefault="0013449F">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13449F" w:rsidRDefault="00A1180C">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13449F" w:rsidRDefault="00A1180C">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13449F" w:rsidRDefault="00A1180C">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13449F" w:rsidRDefault="00A1180C">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rsidR="0013449F" w:rsidRDefault="00A1180C">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13449F" w:rsidRDefault="00A1180C">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13449F" w:rsidRDefault="00A1180C">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13449F" w:rsidRDefault="00A1180C">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rsidR="0013449F" w:rsidRDefault="00A1180C">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13449F" w:rsidRDefault="0013449F">
      <w:pPr>
        <w:rPr>
          <w:rFonts w:ascii="Arial" w:eastAsia="Arial" w:hAnsi="Arial"/>
          <w:sz w:val="24"/>
          <w:szCs w:val="24"/>
        </w:rPr>
      </w:pPr>
    </w:p>
    <w:p w:rsidR="0013449F" w:rsidRDefault="0013449F">
      <w:pPr>
        <w:rPr>
          <w:rFonts w:ascii="Arial" w:eastAsia="Arial" w:hAnsi="Arial"/>
          <w:sz w:val="24"/>
          <w:szCs w:val="24"/>
        </w:rPr>
      </w:pPr>
    </w:p>
    <w:p w:rsidR="00A1180C" w:rsidRPr="00A1180C" w:rsidRDefault="00A1180C">
      <w:pPr>
        <w:pStyle w:val="Heading1"/>
        <w:jc w:val="both"/>
        <w:rPr>
          <w:rFonts w:ascii="Arial" w:hAnsi="Arial" w:cs="Arial"/>
          <w:sz w:val="36"/>
          <w:szCs w:val="36"/>
          <w:u w:val="single"/>
        </w:rPr>
      </w:pPr>
      <w:r>
        <w:br w:type="page"/>
      </w:r>
      <w:r w:rsidRPr="00A1180C">
        <w:rPr>
          <w:rFonts w:ascii="Arial" w:hAnsi="Arial" w:cs="Arial"/>
          <w:sz w:val="36"/>
          <w:szCs w:val="36"/>
          <w:u w:val="single"/>
        </w:rPr>
        <w:lastRenderedPageBreak/>
        <w:t>NOT USED</w:t>
      </w:r>
    </w:p>
    <w:p w:rsidR="0013449F" w:rsidRDefault="00A1180C">
      <w:pPr>
        <w:pStyle w:val="Heading1"/>
        <w:jc w:val="both"/>
        <w:rPr>
          <w:rFonts w:ascii="Arial Bold" w:eastAsia="Arial Bold" w:hAnsi="Arial Bold" w:cs="Arial Bold"/>
          <w:sz w:val="36"/>
          <w:szCs w:val="36"/>
        </w:rPr>
      </w:pPr>
      <w:r>
        <w:rPr>
          <w:rFonts w:ascii="Arial Bold" w:eastAsia="Arial Bold" w:hAnsi="Arial Bold" w:cs="Arial Bold"/>
          <w:sz w:val="36"/>
          <w:szCs w:val="36"/>
        </w:rPr>
        <w:t>Part C: No Staff Transfer on the Start Date</w:t>
      </w:r>
    </w:p>
    <w:p w:rsidR="0013449F" w:rsidRDefault="00A1180C">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13449F" w:rsidRDefault="00A1180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13449F" w:rsidRDefault="00A1180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rsidR="0013449F" w:rsidRDefault="00A1180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rsidR="0013449F" w:rsidRDefault="00A1180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13449F" w:rsidRDefault="00A1180C">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13449F" w:rsidRDefault="0013449F">
      <w:pPr>
        <w:pBdr>
          <w:top w:val="nil"/>
          <w:left w:val="nil"/>
          <w:bottom w:val="nil"/>
          <w:right w:val="nil"/>
          <w:between w:val="nil"/>
        </w:pBdr>
        <w:spacing w:before="120" w:after="120"/>
        <w:ind w:left="1134" w:hanging="1080"/>
        <w:rPr>
          <w:rFonts w:ascii="Arial" w:eastAsia="Arial" w:hAnsi="Arial"/>
          <w:color w:val="000000"/>
          <w:sz w:val="24"/>
          <w:szCs w:val="24"/>
        </w:rPr>
      </w:pPr>
    </w:p>
    <w:p w:rsidR="0013449F" w:rsidRDefault="00A1180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13449F" w:rsidRDefault="00A1180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13449F" w:rsidRDefault="00A1180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13449F" w:rsidRDefault="0013449F">
      <w:pPr>
        <w:keepNext/>
        <w:pBdr>
          <w:top w:val="nil"/>
          <w:left w:val="nil"/>
          <w:bottom w:val="nil"/>
          <w:right w:val="nil"/>
          <w:between w:val="nil"/>
        </w:pBdr>
        <w:tabs>
          <w:tab w:val="left" w:pos="993"/>
        </w:tabs>
        <w:spacing w:before="120" w:after="120"/>
        <w:ind w:left="720" w:hanging="720"/>
        <w:rPr>
          <w:rFonts w:eastAsia="Calibri" w:cs="Calibri"/>
          <w:color w:val="000000"/>
        </w:rPr>
      </w:pPr>
    </w:p>
    <w:p w:rsidR="0013449F" w:rsidRDefault="00A1180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13449F" w:rsidRDefault="00A1180C">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13449F" w:rsidRDefault="00A1180C">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13449F" w:rsidRDefault="00A1180C">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13449F" w:rsidRDefault="00A1180C">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13449F" w:rsidRDefault="00A1180C">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13449F" w:rsidRDefault="00A1180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 shall apply only where the notification referred to in Paragraph 1.2.1 is made by the Supplier and/or any Subcontractor to the Buyer and, if applicable, Former Supplier within 6 months of the Start Date. </w:t>
      </w:r>
    </w:p>
    <w:p w:rsidR="0013449F" w:rsidRDefault="00A1180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13449F" w:rsidRDefault="00A1180C">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13449F" w:rsidRDefault="00A1180C">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13449F" w:rsidRDefault="00A1180C">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13449F" w:rsidRDefault="00A1180C">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13449F" w:rsidRDefault="00A1180C">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13449F">
        <w:tc>
          <w:tcPr>
            <w:tcW w:w="3404" w:type="dxa"/>
            <w:shd w:val="clear" w:color="auto" w:fill="auto"/>
          </w:tcPr>
          <w:p w:rsidR="0013449F" w:rsidRDefault="00A1180C">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13449F">
        <w:tc>
          <w:tcPr>
            <w:tcW w:w="3404" w:type="dxa"/>
            <w:shd w:val="clear" w:color="auto" w:fill="auto"/>
          </w:tcPr>
          <w:p w:rsidR="0013449F" w:rsidRDefault="00A1180C">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13449F" w:rsidRDefault="00A1180C">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13449F">
        <w:tc>
          <w:tcPr>
            <w:tcW w:w="3404" w:type="dxa"/>
            <w:shd w:val="clear" w:color="auto" w:fill="auto"/>
          </w:tcPr>
          <w:p w:rsidR="0013449F" w:rsidRDefault="00A1180C">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13449F" w:rsidRDefault="00A1180C">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13449F" w:rsidRDefault="0013449F">
            <w:pPr>
              <w:tabs>
                <w:tab w:val="left" w:pos="235"/>
              </w:tabs>
              <w:spacing w:before="120" w:after="120"/>
              <w:rPr>
                <w:rFonts w:ascii="Arial" w:eastAsia="Arial" w:hAnsi="Arial"/>
                <w:sz w:val="24"/>
                <w:szCs w:val="24"/>
              </w:rPr>
            </w:pP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13449F" w:rsidRDefault="00A1180C">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A1180C">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13449F" w:rsidRDefault="00A1180C">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13449F" w:rsidRDefault="00A1180C">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13449F" w:rsidRDefault="00A1180C">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13449F" w:rsidRDefault="0013449F">
            <w:pPr>
              <w:widowControl w:val="0"/>
              <w:spacing w:before="120" w:after="120"/>
              <w:rPr>
                <w:rFonts w:ascii="Arial" w:eastAsia="Arial" w:hAnsi="Arial"/>
                <w:sz w:val="24"/>
                <w:szCs w:val="24"/>
              </w:rPr>
            </w:pP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13449F" w:rsidRDefault="00A1180C">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w:t>
            </w:r>
            <w:r>
              <w:rPr>
                <w:rFonts w:ascii="Arial" w:eastAsia="Arial" w:hAnsi="Arial"/>
                <w:sz w:val="24"/>
                <w:szCs w:val="24"/>
              </w:rPr>
              <w:lastRenderedPageBreak/>
              <w:t>such employee who has been admitted to and/or remains eligible to join a Broadly Comparable pension scheme at the relevant time in accordance with paragraph 10 or 11 of this Part D);</w:t>
            </w:r>
          </w:p>
          <w:p w:rsidR="0013449F" w:rsidRDefault="0013449F">
            <w:pPr>
              <w:widowControl w:val="0"/>
              <w:spacing w:before="120" w:after="120"/>
              <w:rPr>
                <w:rFonts w:ascii="Arial" w:eastAsia="Arial" w:hAnsi="Arial"/>
                <w:sz w:val="24"/>
                <w:szCs w:val="24"/>
              </w:rPr>
            </w:pP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rsidR="0013449F" w:rsidRDefault="00A1180C">
            <w:pPr>
              <w:widowControl w:val="0"/>
              <w:spacing w:before="120" w:after="120"/>
              <w:rPr>
                <w:rFonts w:ascii="Arial" w:eastAsia="Arial" w:hAnsi="Arial"/>
                <w:sz w:val="24"/>
                <w:szCs w:val="24"/>
              </w:rPr>
            </w:pPr>
            <w:r>
              <w:rPr>
                <w:rFonts w:ascii="Arial" w:eastAsia="Arial" w:hAnsi="Arial"/>
                <w:sz w:val="24"/>
                <w:szCs w:val="24"/>
              </w:rPr>
              <w:t>any of:</w:t>
            </w:r>
          </w:p>
          <w:p w:rsidR="0013449F" w:rsidRDefault="00A1180C">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A1180C">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A1180C">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13449F">
        <w:tc>
          <w:tcPr>
            <w:tcW w:w="3404" w:type="dxa"/>
            <w:shd w:val="clear" w:color="auto" w:fill="auto"/>
          </w:tcPr>
          <w:p w:rsidR="0013449F" w:rsidRDefault="0013449F">
            <w:pPr>
              <w:keepNext/>
              <w:widowControl w:val="0"/>
              <w:spacing w:before="120" w:after="120"/>
              <w:ind w:left="720"/>
              <w:rPr>
                <w:rFonts w:ascii="Arial" w:eastAsia="Arial" w:hAnsi="Arial"/>
                <w:b/>
                <w:sz w:val="24"/>
                <w:szCs w:val="24"/>
              </w:rPr>
            </w:pPr>
          </w:p>
        </w:tc>
        <w:tc>
          <w:tcPr>
            <w:tcW w:w="5622" w:type="dxa"/>
            <w:shd w:val="clear" w:color="auto" w:fill="auto"/>
          </w:tcPr>
          <w:p w:rsidR="0013449F" w:rsidRDefault="00A1180C">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A1180C">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13449F">
            <w:pPr>
              <w:widowControl w:val="0"/>
              <w:spacing w:before="120" w:after="120"/>
              <w:rPr>
                <w:rFonts w:ascii="Arial" w:eastAsia="Arial" w:hAnsi="Arial"/>
                <w:sz w:val="24"/>
                <w:szCs w:val="24"/>
              </w:rPr>
            </w:pP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13449F" w:rsidRDefault="00A1180C">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13449F" w:rsidRDefault="00A1180C">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13449F" w:rsidRDefault="00A1180C">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13449F">
            <w:pPr>
              <w:widowControl w:val="0"/>
              <w:numPr>
                <w:ilvl w:val="0"/>
                <w:numId w:val="14"/>
              </w:numPr>
              <w:tabs>
                <w:tab w:val="left" w:pos="695"/>
              </w:tabs>
              <w:spacing w:before="120" w:after="120"/>
              <w:ind w:left="743" w:hanging="709"/>
              <w:rPr>
                <w:rFonts w:ascii="Arial" w:eastAsia="Arial" w:hAnsi="Arial"/>
                <w:sz w:val="24"/>
                <w:szCs w:val="24"/>
              </w:rPr>
            </w:pPr>
          </w:p>
        </w:tc>
      </w:tr>
      <w:tr w:rsidR="0013449F">
        <w:tc>
          <w:tcPr>
            <w:tcW w:w="3404" w:type="dxa"/>
            <w:shd w:val="clear" w:color="auto" w:fill="auto"/>
          </w:tcPr>
          <w:p w:rsidR="0013449F" w:rsidRDefault="0013449F">
            <w:pPr>
              <w:widowControl w:val="0"/>
              <w:spacing w:before="120" w:after="120"/>
              <w:ind w:left="720"/>
              <w:rPr>
                <w:rFonts w:ascii="Arial" w:eastAsia="Arial" w:hAnsi="Arial"/>
                <w:b/>
                <w:sz w:val="24"/>
                <w:szCs w:val="24"/>
              </w:rPr>
            </w:pPr>
          </w:p>
        </w:tc>
        <w:tc>
          <w:tcPr>
            <w:tcW w:w="5622" w:type="dxa"/>
            <w:shd w:val="clear" w:color="auto" w:fill="auto"/>
          </w:tcPr>
          <w:p w:rsidR="0013449F" w:rsidRDefault="0013449F">
            <w:pPr>
              <w:widowControl w:val="0"/>
              <w:numPr>
                <w:ilvl w:val="0"/>
                <w:numId w:val="14"/>
              </w:numPr>
              <w:tabs>
                <w:tab w:val="left" w:pos="695"/>
              </w:tabs>
              <w:spacing w:before="120" w:after="120"/>
              <w:ind w:left="695" w:hanging="646"/>
              <w:rPr>
                <w:rFonts w:ascii="Arial" w:eastAsia="Arial" w:hAnsi="Arial"/>
                <w:sz w:val="24"/>
                <w:szCs w:val="24"/>
              </w:rPr>
            </w:pPr>
          </w:p>
        </w:tc>
      </w:tr>
      <w:tr w:rsidR="0013449F">
        <w:tc>
          <w:tcPr>
            <w:tcW w:w="3404" w:type="dxa"/>
            <w:shd w:val="clear" w:color="auto" w:fill="auto"/>
          </w:tcPr>
          <w:p w:rsidR="0013449F" w:rsidRDefault="00A1180C">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13449F" w:rsidRDefault="00A1180C">
            <w:pPr>
              <w:spacing w:before="120" w:after="120"/>
              <w:rPr>
                <w:rFonts w:ascii="Arial" w:eastAsia="Arial" w:hAnsi="Arial"/>
                <w:sz w:val="24"/>
                <w:szCs w:val="24"/>
              </w:rPr>
            </w:pPr>
            <w:r>
              <w:rPr>
                <w:rFonts w:ascii="Arial" w:eastAsia="Arial" w:hAnsi="Arial"/>
                <w:sz w:val="24"/>
                <w:szCs w:val="24"/>
              </w:rPr>
              <w:t>means the CSPS, NHSPS or LGPS.</w:t>
            </w:r>
          </w:p>
        </w:tc>
      </w:tr>
    </w:tbl>
    <w:p w:rsidR="0013449F" w:rsidRDefault="00A1180C">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rsidR="0013449F" w:rsidRDefault="00A1180C">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13449F" w:rsidRDefault="00A1180C">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13449F" w:rsidRDefault="00A1180C">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13449F" w:rsidRDefault="00A1180C">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rsidR="0013449F" w:rsidRDefault="00A1180C">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13449F" w:rsidRDefault="00A1180C">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rsidR="0013449F" w:rsidRDefault="00A1180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rsidR="0013449F" w:rsidRDefault="00A1180C">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13449F" w:rsidRDefault="00A1180C">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rsidR="0013449F" w:rsidRDefault="0013449F">
      <w:pPr>
        <w:pBdr>
          <w:top w:val="nil"/>
          <w:left w:val="nil"/>
          <w:bottom w:val="nil"/>
          <w:right w:val="nil"/>
          <w:between w:val="nil"/>
        </w:pBdr>
        <w:spacing w:before="120" w:after="120"/>
        <w:ind w:left="2214" w:hanging="1080"/>
        <w:rPr>
          <w:rFonts w:eastAsia="Calibri" w:cs="Calibri"/>
          <w:color w:val="000000"/>
        </w:rPr>
      </w:pP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13449F" w:rsidRDefault="00A1180C">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13449F" w:rsidRDefault="00A1180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13449F" w:rsidRDefault="00A1180C">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13449F" w:rsidRDefault="00A1180C">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13449F" w:rsidRDefault="00A1180C">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13449F" w:rsidRDefault="00A1180C">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13449F" w:rsidRDefault="00A1180C">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13449F" w:rsidRDefault="00A1180C">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13449F" w:rsidRDefault="0013449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13449F" w:rsidRDefault="00A1180C">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13449F" w:rsidRDefault="0013449F">
      <w:pPr>
        <w:pBdr>
          <w:top w:val="nil"/>
          <w:left w:val="nil"/>
          <w:bottom w:val="nil"/>
          <w:right w:val="nil"/>
          <w:between w:val="nil"/>
        </w:pBdr>
        <w:tabs>
          <w:tab w:val="left" w:pos="993"/>
        </w:tabs>
        <w:spacing w:before="120" w:after="120"/>
        <w:ind w:left="720" w:hanging="720"/>
        <w:rPr>
          <w:rFonts w:eastAsia="Calibri" w:cs="Calibri"/>
          <w:color w:val="000000"/>
        </w:rPr>
      </w:pPr>
    </w:p>
    <w:p w:rsidR="0013449F" w:rsidRDefault="00A1180C">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13449F" w:rsidRDefault="00A1180C">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13449F" w:rsidRDefault="00A1180C">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13449F" w:rsidRDefault="00A1180C">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rsidR="0013449F" w:rsidRDefault="00A1180C">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A1180C" w:rsidRPr="00A1180C" w:rsidRDefault="00A1180C">
      <w:pPr>
        <w:rPr>
          <w:rFonts w:ascii="Arial" w:hAnsi="Arial"/>
          <w:b/>
          <w:sz w:val="36"/>
          <w:szCs w:val="36"/>
          <w:u w:val="single"/>
        </w:rPr>
      </w:pPr>
      <w:r>
        <w:br w:type="page"/>
      </w:r>
      <w:r w:rsidRPr="00A1180C">
        <w:rPr>
          <w:rFonts w:ascii="Arial" w:hAnsi="Arial"/>
          <w:b/>
          <w:sz w:val="36"/>
          <w:szCs w:val="36"/>
          <w:u w:val="single"/>
        </w:rPr>
        <w:lastRenderedPageBreak/>
        <w:t>NOT USED</w:t>
      </w:r>
    </w:p>
    <w:p w:rsidR="0013449F" w:rsidRDefault="00A1180C">
      <w:pPr>
        <w:rPr>
          <w:rFonts w:ascii="Arial Bold" w:eastAsia="Arial Bold" w:hAnsi="Arial Bold" w:cs="Arial Bold"/>
          <w:b/>
          <w:sz w:val="36"/>
          <w:szCs w:val="36"/>
        </w:rPr>
      </w:pPr>
      <w:r>
        <w:rPr>
          <w:rFonts w:ascii="Arial Bold" w:eastAsia="Arial Bold" w:hAnsi="Arial Bold" w:cs="Arial Bold"/>
          <w:b/>
          <w:sz w:val="36"/>
          <w:szCs w:val="36"/>
        </w:rPr>
        <w:t xml:space="preserve">Annex D1: </w:t>
      </w:r>
    </w:p>
    <w:p w:rsidR="0013449F" w:rsidRDefault="00A1180C">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13449F" w:rsidRDefault="00A1180C">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13449F" w:rsidRDefault="00A1180C">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13449F">
        <w:tc>
          <w:tcPr>
            <w:tcW w:w="2835" w:type="dxa"/>
          </w:tcPr>
          <w:p w:rsidR="0013449F" w:rsidRDefault="00A1180C">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13449F">
        <w:tc>
          <w:tcPr>
            <w:tcW w:w="2835" w:type="dxa"/>
          </w:tcPr>
          <w:p w:rsidR="0013449F" w:rsidRDefault="00A1180C">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13449F">
        <w:tc>
          <w:tcPr>
            <w:tcW w:w="2835" w:type="dxa"/>
          </w:tcPr>
          <w:p w:rsidR="0013449F" w:rsidRDefault="00A1180C">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13449F">
        <w:tc>
          <w:tcPr>
            <w:tcW w:w="2835" w:type="dxa"/>
          </w:tcPr>
          <w:p w:rsidR="0013449F" w:rsidRDefault="00A1180C">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13449F" w:rsidRDefault="00A1180C">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rsidR="0013449F" w:rsidRDefault="00A1180C">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13449F" w:rsidRDefault="00A1180C">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w:t>
      </w:r>
      <w:r>
        <w:rPr>
          <w:rFonts w:ascii="Arial" w:eastAsia="Arial" w:hAnsi="Arial"/>
          <w:color w:val="000000"/>
          <w:sz w:val="24"/>
          <w:szCs w:val="24"/>
        </w:rPr>
        <w:lastRenderedPageBreak/>
        <w:t xml:space="preserve">Fair Deal Employees continue to accrue benefits in the CSPS in accordance with the provisions governing the relevant section of the CSPS for service from (and including) the Relevant Transfer Date. </w:t>
      </w:r>
    </w:p>
    <w:p w:rsidR="0013449F" w:rsidRDefault="00A1180C">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13449F" w:rsidRDefault="0013449F">
      <w:pPr>
        <w:rPr>
          <w:rFonts w:ascii="Arial" w:eastAsia="Arial" w:hAnsi="Arial"/>
          <w:sz w:val="24"/>
          <w:szCs w:val="24"/>
        </w:rPr>
      </w:pPr>
    </w:p>
    <w:p w:rsidR="00A1180C" w:rsidRDefault="00A1180C">
      <w:pPr>
        <w:rPr>
          <w:rFonts w:ascii="Arial Bold" w:eastAsia="Arial Bold" w:hAnsi="Arial Bold" w:cs="Arial Bold"/>
          <w:b/>
          <w:sz w:val="36"/>
          <w:szCs w:val="36"/>
        </w:rPr>
      </w:pPr>
      <w:r>
        <w:br w:type="page"/>
      </w:r>
      <w:r w:rsidRPr="00A1180C">
        <w:rPr>
          <w:rFonts w:ascii="Arial" w:hAnsi="Arial"/>
          <w:b/>
          <w:sz w:val="36"/>
          <w:szCs w:val="36"/>
          <w:u w:val="single"/>
        </w:rPr>
        <w:lastRenderedPageBreak/>
        <w:t>NOT USED</w:t>
      </w:r>
      <w:r>
        <w:rPr>
          <w:rFonts w:ascii="Arial Bold" w:eastAsia="Arial Bold" w:hAnsi="Arial Bold" w:cs="Arial Bold"/>
          <w:b/>
          <w:sz w:val="36"/>
          <w:szCs w:val="36"/>
        </w:rPr>
        <w:t xml:space="preserve"> </w:t>
      </w:r>
    </w:p>
    <w:p w:rsidR="0013449F" w:rsidRDefault="00A1180C">
      <w:pPr>
        <w:rPr>
          <w:rFonts w:ascii="Arial Bold" w:eastAsia="Arial Bold" w:hAnsi="Arial Bold" w:cs="Arial Bold"/>
          <w:sz w:val="36"/>
          <w:szCs w:val="36"/>
        </w:rPr>
      </w:pPr>
      <w:r>
        <w:rPr>
          <w:rFonts w:ascii="Arial Bold" w:eastAsia="Arial Bold" w:hAnsi="Arial Bold" w:cs="Arial Bold"/>
          <w:b/>
          <w:sz w:val="36"/>
          <w:szCs w:val="36"/>
        </w:rPr>
        <w:t>Annex D2: NHS Pension Schemes</w:t>
      </w:r>
    </w:p>
    <w:p w:rsidR="0013449F" w:rsidRDefault="00A1180C">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13449F" w:rsidRDefault="00A1180C">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13449F">
        <w:tc>
          <w:tcPr>
            <w:tcW w:w="3397" w:type="dxa"/>
          </w:tcPr>
          <w:p w:rsidR="0013449F" w:rsidRDefault="00A1180C">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13449F">
        <w:tc>
          <w:tcPr>
            <w:tcW w:w="3397" w:type="dxa"/>
          </w:tcPr>
          <w:p w:rsidR="0013449F" w:rsidRDefault="00A1180C">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rsidR="0013449F" w:rsidRDefault="00A1180C">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13449F" w:rsidRDefault="00A1180C">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13449F" w:rsidRDefault="00A1180C">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13449F" w:rsidRDefault="00A1180C">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w:t>
            </w:r>
            <w:r>
              <w:rPr>
                <w:rFonts w:ascii="Arial" w:eastAsia="Arial" w:hAnsi="Arial"/>
                <w:sz w:val="24"/>
                <w:szCs w:val="24"/>
              </w:rPr>
              <w:lastRenderedPageBreak/>
              <w:t>scheme to provide Pension Benefits that are Broadly Comparable to those provided under the NHSPS.</w:t>
            </w:r>
          </w:p>
        </w:tc>
      </w:tr>
      <w:tr w:rsidR="0013449F">
        <w:tc>
          <w:tcPr>
            <w:tcW w:w="3397" w:type="dxa"/>
          </w:tcPr>
          <w:p w:rsidR="0013449F" w:rsidRDefault="00A1180C">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w:t>
            </w:r>
            <w:proofErr w:type="gramStart"/>
            <w:r>
              <w:rPr>
                <w:rFonts w:ascii="Arial" w:eastAsia="Arial" w:hAnsi="Arial"/>
                <w:color w:val="000000"/>
                <w:sz w:val="24"/>
                <w:szCs w:val="24"/>
              </w:rPr>
              <w:t>Employee  who</w:t>
            </w:r>
            <w:proofErr w:type="gramEnd"/>
            <w:r>
              <w:rPr>
                <w:rFonts w:ascii="Arial" w:eastAsia="Arial" w:hAnsi="Arial"/>
                <w:color w:val="000000"/>
                <w:sz w:val="24"/>
                <w:szCs w:val="24"/>
              </w:rPr>
              <w:t xml:space="preserve"> at the relevant time is an active member or eligible to participate in the NHSPS under a Direction Letter/Determination Letter.</w:t>
            </w:r>
          </w:p>
        </w:tc>
      </w:tr>
      <w:tr w:rsidR="0013449F">
        <w:tc>
          <w:tcPr>
            <w:tcW w:w="3397" w:type="dxa"/>
          </w:tcPr>
          <w:p w:rsidR="0013449F" w:rsidRDefault="00A1180C">
            <w:pPr>
              <w:spacing w:before="120" w:after="120"/>
              <w:ind w:left="72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13449F">
        <w:tc>
          <w:tcPr>
            <w:tcW w:w="3397" w:type="dxa"/>
          </w:tcPr>
          <w:p w:rsidR="0013449F" w:rsidRDefault="0013449F">
            <w:pPr>
              <w:spacing w:before="120" w:after="120"/>
              <w:ind w:left="720"/>
              <w:rPr>
                <w:rFonts w:ascii="Arial" w:eastAsia="Arial" w:hAnsi="Arial"/>
                <w:b/>
                <w:sz w:val="24"/>
                <w:szCs w:val="24"/>
              </w:rPr>
            </w:pPr>
          </w:p>
        </w:tc>
        <w:tc>
          <w:tcPr>
            <w:tcW w:w="5629" w:type="dxa"/>
          </w:tcPr>
          <w:p w:rsidR="0013449F" w:rsidRDefault="00A1180C">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13449F">
        <w:tc>
          <w:tcPr>
            <w:tcW w:w="3397" w:type="dxa"/>
          </w:tcPr>
          <w:p w:rsidR="0013449F" w:rsidRDefault="0013449F">
            <w:pPr>
              <w:spacing w:before="120" w:after="120"/>
              <w:ind w:left="720"/>
              <w:rPr>
                <w:rFonts w:ascii="Arial" w:eastAsia="Arial" w:hAnsi="Arial"/>
                <w:b/>
                <w:sz w:val="24"/>
                <w:szCs w:val="24"/>
              </w:rPr>
            </w:pPr>
          </w:p>
        </w:tc>
        <w:tc>
          <w:tcPr>
            <w:tcW w:w="5629" w:type="dxa"/>
          </w:tcPr>
          <w:p w:rsidR="0013449F" w:rsidRDefault="00A1180C">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13449F">
        <w:tc>
          <w:tcPr>
            <w:tcW w:w="3397" w:type="dxa"/>
          </w:tcPr>
          <w:p w:rsidR="0013449F" w:rsidRDefault="0013449F">
            <w:pPr>
              <w:spacing w:before="120" w:after="120"/>
              <w:ind w:left="720"/>
              <w:rPr>
                <w:rFonts w:ascii="Arial" w:eastAsia="Arial" w:hAnsi="Arial"/>
                <w:b/>
                <w:sz w:val="24"/>
                <w:szCs w:val="24"/>
              </w:rPr>
            </w:pP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13449F">
        <w:tc>
          <w:tcPr>
            <w:tcW w:w="3397" w:type="dxa"/>
          </w:tcPr>
          <w:p w:rsidR="0013449F" w:rsidRDefault="0013449F">
            <w:pPr>
              <w:spacing w:before="120" w:after="120"/>
              <w:ind w:left="720"/>
              <w:rPr>
                <w:rFonts w:ascii="Arial" w:eastAsia="Arial" w:hAnsi="Arial"/>
                <w:b/>
                <w:sz w:val="24"/>
                <w:szCs w:val="24"/>
              </w:rPr>
            </w:pP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13449F">
        <w:tc>
          <w:tcPr>
            <w:tcW w:w="3397" w:type="dxa"/>
          </w:tcPr>
          <w:p w:rsidR="0013449F" w:rsidRDefault="00A1180C">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13449F">
        <w:tc>
          <w:tcPr>
            <w:tcW w:w="3397" w:type="dxa"/>
          </w:tcPr>
          <w:p w:rsidR="0013449F" w:rsidRDefault="00A1180C">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13449F">
        <w:tc>
          <w:tcPr>
            <w:tcW w:w="3397" w:type="dxa"/>
          </w:tcPr>
          <w:p w:rsidR="0013449F" w:rsidRDefault="00A1180C">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13449F">
        <w:tc>
          <w:tcPr>
            <w:tcW w:w="3397" w:type="dxa"/>
          </w:tcPr>
          <w:p w:rsidR="0013449F" w:rsidRDefault="0013449F">
            <w:pPr>
              <w:spacing w:before="120" w:after="120"/>
              <w:ind w:left="993"/>
              <w:rPr>
                <w:rFonts w:ascii="Arial" w:eastAsia="Arial" w:hAnsi="Arial"/>
                <w:b/>
                <w:sz w:val="24"/>
                <w:szCs w:val="24"/>
              </w:rPr>
            </w:pPr>
          </w:p>
        </w:tc>
        <w:tc>
          <w:tcPr>
            <w:tcW w:w="5629" w:type="dxa"/>
          </w:tcPr>
          <w:p w:rsidR="0013449F" w:rsidRDefault="0013449F">
            <w:pPr>
              <w:tabs>
                <w:tab w:val="left" w:pos="235"/>
              </w:tabs>
              <w:spacing w:before="120" w:after="120"/>
              <w:rPr>
                <w:rFonts w:ascii="Arial" w:eastAsia="Arial" w:hAnsi="Arial"/>
                <w:color w:val="000000"/>
                <w:sz w:val="24"/>
                <w:szCs w:val="24"/>
              </w:rPr>
            </w:pPr>
          </w:p>
        </w:tc>
      </w:tr>
      <w:tr w:rsidR="0013449F">
        <w:tc>
          <w:tcPr>
            <w:tcW w:w="3397" w:type="dxa"/>
          </w:tcPr>
          <w:p w:rsidR="0013449F" w:rsidRDefault="00A1180C">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13449F">
        <w:tc>
          <w:tcPr>
            <w:tcW w:w="3397" w:type="dxa"/>
          </w:tcPr>
          <w:p w:rsidR="0013449F" w:rsidRDefault="00A1180C">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13449F">
        <w:tc>
          <w:tcPr>
            <w:tcW w:w="3397" w:type="dxa"/>
          </w:tcPr>
          <w:p w:rsidR="0013449F" w:rsidRDefault="00A1180C">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13449F" w:rsidRDefault="00A1180C">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13449F">
        <w:tc>
          <w:tcPr>
            <w:tcW w:w="3397" w:type="dxa"/>
          </w:tcPr>
          <w:p w:rsidR="0013449F" w:rsidRDefault="0013449F">
            <w:pPr>
              <w:spacing w:before="120" w:after="120"/>
              <w:ind w:left="993"/>
              <w:rPr>
                <w:rFonts w:ascii="Arial" w:eastAsia="Arial" w:hAnsi="Arial"/>
                <w:b/>
                <w:sz w:val="24"/>
                <w:szCs w:val="24"/>
              </w:rPr>
            </w:pPr>
          </w:p>
        </w:tc>
        <w:tc>
          <w:tcPr>
            <w:tcW w:w="5629" w:type="dxa"/>
          </w:tcPr>
          <w:p w:rsidR="0013449F" w:rsidRDefault="0013449F">
            <w:pPr>
              <w:tabs>
                <w:tab w:val="left" w:pos="235"/>
              </w:tabs>
              <w:spacing w:before="120" w:after="120"/>
              <w:rPr>
                <w:rFonts w:ascii="Arial" w:eastAsia="Arial" w:hAnsi="Arial"/>
                <w:sz w:val="24"/>
                <w:szCs w:val="24"/>
              </w:rPr>
            </w:pPr>
          </w:p>
        </w:tc>
      </w:tr>
    </w:tbl>
    <w:p w:rsidR="0013449F" w:rsidRDefault="00A1180C">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lastRenderedPageBreak/>
        <w:t>Membership of the NHS Pension Scheme</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13449F" w:rsidRDefault="00A1180C">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13449F" w:rsidRDefault="00A1180C">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rsidR="0013449F" w:rsidRDefault="00A1180C">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13449F" w:rsidRDefault="00A1180C">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rsidR="0013449F" w:rsidRDefault="0013449F">
      <w:pPr>
        <w:ind w:left="357"/>
        <w:rPr>
          <w:rFonts w:ascii="Arial" w:eastAsia="Arial" w:hAnsi="Arial"/>
          <w:sz w:val="24"/>
          <w:szCs w:val="24"/>
        </w:rPr>
      </w:pPr>
    </w:p>
    <w:p w:rsidR="0013449F" w:rsidRDefault="00A1180C">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13449F" w:rsidRDefault="00A1180C">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13449F" w:rsidRDefault="00A1180C">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rsidR="0013449F" w:rsidRDefault="00A1180C">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rsidR="0013449F" w:rsidRDefault="00A1180C">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rsidR="0013449F" w:rsidRDefault="00A1180C">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13449F" w:rsidRDefault="00A1180C">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13449F" w:rsidRDefault="00A1180C">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A1180C" w:rsidRDefault="00A1180C">
      <w:pPr>
        <w:spacing w:after="120"/>
        <w:rPr>
          <w:rFonts w:ascii="Arial Bold" w:eastAsia="Arial Bold" w:hAnsi="Arial Bold" w:cs="Arial Bold"/>
          <w:b/>
          <w:sz w:val="36"/>
          <w:szCs w:val="36"/>
        </w:rPr>
      </w:pPr>
      <w:r>
        <w:br w:type="page"/>
      </w:r>
      <w:r w:rsidRPr="00A1180C">
        <w:rPr>
          <w:rFonts w:ascii="Arial" w:hAnsi="Arial"/>
          <w:b/>
          <w:sz w:val="36"/>
          <w:szCs w:val="36"/>
          <w:u w:val="single"/>
        </w:rPr>
        <w:lastRenderedPageBreak/>
        <w:t>NOT USED</w:t>
      </w:r>
      <w:r>
        <w:rPr>
          <w:rFonts w:ascii="Arial Bold" w:eastAsia="Arial Bold" w:hAnsi="Arial Bold" w:cs="Arial Bold"/>
          <w:b/>
          <w:sz w:val="36"/>
          <w:szCs w:val="36"/>
        </w:rPr>
        <w:t xml:space="preserve"> </w:t>
      </w:r>
    </w:p>
    <w:p w:rsidR="0013449F" w:rsidRDefault="00A1180C">
      <w:pPr>
        <w:spacing w:after="120"/>
        <w:rPr>
          <w:rFonts w:ascii="Arial Bold" w:eastAsia="Arial Bold" w:hAnsi="Arial Bold" w:cs="Arial Bold"/>
          <w:b/>
          <w:sz w:val="36"/>
          <w:szCs w:val="36"/>
        </w:rPr>
      </w:pPr>
      <w:r>
        <w:rPr>
          <w:rFonts w:ascii="Arial Bold" w:eastAsia="Arial Bold" w:hAnsi="Arial Bold" w:cs="Arial Bold"/>
          <w:b/>
          <w:sz w:val="36"/>
          <w:szCs w:val="36"/>
        </w:rPr>
        <w:t xml:space="preserve">Annex D3: </w:t>
      </w:r>
    </w:p>
    <w:p w:rsidR="0013449F" w:rsidRPr="00A1180C" w:rsidRDefault="00A1180C" w:rsidP="00A1180C">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r>
        <w:rPr>
          <w:b/>
          <w:sz w:val="24"/>
          <w:szCs w:val="24"/>
          <w:highlight w:val="yellow"/>
        </w:rPr>
        <w:t xml:space="preserve"> </w:t>
      </w:r>
    </w:p>
    <w:p w:rsidR="0013449F" w:rsidRDefault="00A1180C">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13449F" w:rsidRDefault="00A1180C">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13449F" w:rsidRDefault="00A1180C">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13449F" w:rsidRDefault="00A1180C">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13449F" w:rsidRDefault="00A1180C">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13449F" w:rsidRDefault="00A1180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13449F">
        <w:trPr>
          <w:trHeight w:val="653"/>
        </w:trPr>
        <w:tc>
          <w:tcPr>
            <w:tcW w:w="2635" w:type="dxa"/>
            <w:shd w:val="clear" w:color="auto" w:fill="auto"/>
          </w:tcPr>
          <w:p w:rsidR="0013449F" w:rsidRDefault="00A1180C">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13449F" w:rsidRDefault="00A1180C">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13449F">
        <w:trPr>
          <w:trHeight w:val="653"/>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13449F" w:rsidRPr="00096AB7" w:rsidRDefault="00A1180C">
            <w:pPr>
              <w:rPr>
                <w:rFonts w:ascii="Arial" w:eastAsia="Arial" w:hAnsi="Arial"/>
                <w:sz w:val="24"/>
                <w:szCs w:val="24"/>
              </w:rPr>
            </w:pPr>
            <w:r w:rsidRPr="00096AB7">
              <w:rPr>
                <w:rFonts w:ascii="Arial" w:eastAsia="Arial" w:hAnsi="Arial"/>
                <w:sz w:val="24"/>
                <w:szCs w:val="24"/>
              </w:rPr>
              <w:t xml:space="preserve">in relation to </w:t>
            </w:r>
            <w:r w:rsidRPr="00096AB7">
              <w:rPr>
                <w:rFonts w:ascii="Arial" w:eastAsia="Arial" w:hAnsi="Arial"/>
                <w:b/>
                <w:sz w:val="24"/>
                <w:szCs w:val="24"/>
              </w:rPr>
              <w:t>the Fund [insert name],</w:t>
            </w:r>
            <w:r w:rsidR="00096AB7">
              <w:rPr>
                <w:rFonts w:ascii="Arial" w:eastAsia="Arial" w:hAnsi="Arial"/>
                <w:b/>
                <w:sz w:val="24"/>
                <w:szCs w:val="24"/>
              </w:rPr>
              <w:t xml:space="preserve"> </w:t>
            </w:r>
            <w:r w:rsidRPr="00096AB7">
              <w:rPr>
                <w:rFonts w:ascii="Arial" w:eastAsia="Arial" w:hAnsi="Arial"/>
                <w:sz w:val="24"/>
                <w:szCs w:val="24"/>
              </w:rPr>
              <w:t>the relevant Administering Buyer of that Fund for the purposes of the 2013 Regulations;</w:t>
            </w:r>
          </w:p>
        </w:tc>
      </w:tr>
      <w:tr w:rsidR="0013449F">
        <w:trPr>
          <w:trHeight w:val="653"/>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13449F" w:rsidRPr="00096AB7" w:rsidRDefault="00A1180C">
            <w:pPr>
              <w:rPr>
                <w:rFonts w:ascii="Arial" w:eastAsia="Arial" w:hAnsi="Arial"/>
                <w:sz w:val="24"/>
                <w:szCs w:val="24"/>
              </w:rPr>
            </w:pPr>
            <w:r w:rsidRPr="00096AB7">
              <w:rPr>
                <w:rFonts w:ascii="Arial" w:eastAsia="Arial" w:hAnsi="Arial"/>
                <w:sz w:val="24"/>
                <w:szCs w:val="24"/>
              </w:rPr>
              <w:t>the actuary to a Fund appointed by the Administering Buyer of that Fund;</w:t>
            </w:r>
          </w:p>
        </w:tc>
      </w:tr>
      <w:tr w:rsidR="0013449F">
        <w:trPr>
          <w:trHeight w:val="337"/>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13449F" w:rsidRPr="00096AB7" w:rsidRDefault="00A1180C">
            <w:pPr>
              <w:rPr>
                <w:rFonts w:ascii="Arial" w:eastAsia="Arial" w:hAnsi="Arial"/>
                <w:b/>
                <w:sz w:val="24"/>
                <w:szCs w:val="24"/>
              </w:rPr>
            </w:pPr>
            <w:r w:rsidRPr="00096AB7">
              <w:rPr>
                <w:rFonts w:ascii="Arial" w:eastAsia="Arial" w:hAnsi="Arial"/>
                <w:b/>
                <w:sz w:val="24"/>
                <w:szCs w:val="24"/>
              </w:rPr>
              <w:t>[insert name], a pension fund within the LGPS;</w:t>
            </w:r>
          </w:p>
        </w:tc>
      </w:tr>
      <w:tr w:rsidR="0013449F">
        <w:trPr>
          <w:trHeight w:val="337"/>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13449F" w:rsidRDefault="00A1180C">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13449F">
        <w:trPr>
          <w:trHeight w:val="1269"/>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13449F" w:rsidRDefault="00A1180C">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13449F">
        <w:trPr>
          <w:trHeight w:val="990"/>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13449F" w:rsidRDefault="00A1180C">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13449F">
        <w:trPr>
          <w:trHeight w:val="900"/>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13449F" w:rsidRDefault="00A1180C">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13449F">
        <w:trPr>
          <w:trHeight w:val="900"/>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13449F" w:rsidRDefault="00A1180C">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13449F">
        <w:trPr>
          <w:trHeight w:val="900"/>
        </w:trPr>
        <w:tc>
          <w:tcPr>
            <w:tcW w:w="2635" w:type="dxa"/>
            <w:shd w:val="clear" w:color="auto" w:fill="auto"/>
          </w:tcPr>
          <w:p w:rsidR="0013449F" w:rsidRDefault="00A1180C">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13449F" w:rsidRDefault="00A1180C">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rsidR="0013449F">
        <w:trPr>
          <w:trHeight w:val="1665"/>
        </w:trPr>
        <w:tc>
          <w:tcPr>
            <w:tcW w:w="2635" w:type="dxa"/>
            <w:shd w:val="clear" w:color="auto" w:fill="auto"/>
          </w:tcPr>
          <w:p w:rsidR="0013449F" w:rsidRDefault="00A1180C">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13449F" w:rsidRDefault="00A1180C">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13449F" w:rsidRDefault="0013449F">
      <w:pPr>
        <w:pStyle w:val="Heading2"/>
        <w:rPr>
          <w:rFonts w:ascii="Arial" w:eastAsia="Arial" w:hAnsi="Arial"/>
          <w:sz w:val="24"/>
          <w:szCs w:val="24"/>
        </w:rPr>
      </w:pPr>
    </w:p>
    <w:p w:rsidR="0013449F" w:rsidRDefault="00A1180C">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13449F" w:rsidRDefault="00A1180C">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13449F" w:rsidRDefault="00A1180C">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13449F" w:rsidRDefault="00A1180C">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13449F" w:rsidRDefault="00A1180C">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13449F" w:rsidRDefault="00A1180C">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rsidR="0013449F" w:rsidRDefault="00A1180C">
      <w:pPr>
        <w:tabs>
          <w:tab w:val="left" w:pos="720"/>
        </w:tabs>
        <w:ind w:left="708"/>
        <w:rPr>
          <w:rFonts w:ascii="Arial" w:eastAsia="Arial" w:hAnsi="Arial"/>
          <w:b/>
          <w:sz w:val="24"/>
          <w:szCs w:val="24"/>
        </w:rPr>
      </w:pPr>
      <w:r>
        <w:rPr>
          <w:rFonts w:ascii="Arial" w:eastAsia="Arial" w:hAnsi="Arial"/>
          <w:b/>
          <w:sz w:val="24"/>
          <w:szCs w:val="24"/>
        </w:rPr>
        <w:t>OPTION 2</w:t>
      </w:r>
    </w:p>
    <w:p w:rsidR="0013449F" w:rsidRDefault="00A1180C">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13449F" w:rsidRDefault="00A1180C">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13449F" w:rsidRDefault="00A1180C">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13449F" w:rsidRDefault="00A1180C">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13449F" w:rsidRDefault="00A1180C">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13449F" w:rsidRDefault="00A1180C">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t>Broadly Comparable Scheme</w:t>
      </w:r>
    </w:p>
    <w:p w:rsidR="0013449F" w:rsidRDefault="00A1180C">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13449F" w:rsidRDefault="00A1180C">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13449F" w:rsidRDefault="00A1180C">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rsidR="0013449F" w:rsidRDefault="00A1180C">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13449F" w:rsidRDefault="00A1180C">
      <w:pPr>
        <w:rPr>
          <w:rFonts w:ascii="Arial" w:eastAsia="Arial" w:hAnsi="Arial"/>
          <w:sz w:val="24"/>
          <w:szCs w:val="24"/>
        </w:rPr>
      </w:pPr>
      <w:r>
        <w:rPr>
          <w:rFonts w:ascii="Arial" w:eastAsia="Arial" w:hAnsi="Arial"/>
          <w:sz w:val="24"/>
          <w:szCs w:val="24"/>
        </w:rPr>
        <w:t xml:space="preserve"> </w:t>
      </w:r>
    </w:p>
    <w:p w:rsidR="0013449F" w:rsidRDefault="00A1180C">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13449F" w:rsidRDefault="00A1180C">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13449F" w:rsidRDefault="00A1180C">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13449F" w:rsidRDefault="00A1180C">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13449F" w:rsidRDefault="00A1180C">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13449F" w:rsidRDefault="00A1180C">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13449F" w:rsidRDefault="00A1180C">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13449F" w:rsidRDefault="0013449F">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13449F" w:rsidRDefault="00A1180C">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rsidR="0013449F" w:rsidRDefault="00A1180C">
      <w:pPr>
        <w:rPr>
          <w:rFonts w:ascii="Arial" w:eastAsia="Arial" w:hAnsi="Arial"/>
          <w:b/>
          <w:sz w:val="24"/>
          <w:szCs w:val="24"/>
        </w:rPr>
      </w:pPr>
      <w:r w:rsidRPr="00096AB7">
        <w:rPr>
          <w:rFonts w:ascii="Arial" w:eastAsia="Arial" w:hAnsi="Arial"/>
          <w:b/>
          <w:sz w:val="24"/>
          <w:szCs w:val="24"/>
        </w:rPr>
        <w:t xml:space="preserve"> Guidance:</w:t>
      </w:r>
      <w:r w:rsidRPr="00096AB7">
        <w:rPr>
          <w:rFonts w:ascii="Arial" w:eastAsia="Arial" w:hAnsi="Arial"/>
          <w:sz w:val="24"/>
          <w:szCs w:val="24"/>
        </w:rPr>
        <w:t xml:space="preserve"> </w:t>
      </w:r>
      <w:r>
        <w:rPr>
          <w:rFonts w:ascii="Arial" w:eastAsia="Arial" w:hAnsi="Arial"/>
          <w:sz w:val="24"/>
          <w:szCs w:val="24"/>
        </w:rPr>
        <w:t>Placeholder for Pension Schemes other than LGPS, CSPS &amp; NHSPS</w:t>
      </w:r>
    </w:p>
    <w:p w:rsidR="0013449F" w:rsidRDefault="00A1180C">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13449F" w:rsidRDefault="00A1180C">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agrees that within 20 Working Days of the earliest of:</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a notification from the Buyer of a Service Transfer or intended Service Transfer;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13449F" w:rsidRDefault="00A1180C">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13449F" w:rsidRDefault="00A1180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13449F" w:rsidRDefault="00A1180C">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096AB7">
        <w:rPr>
          <w:rFonts w:ascii="Arial" w:eastAsia="Arial" w:hAnsi="Arial"/>
          <w:color w:val="000000"/>
          <w:sz w:val="24"/>
          <w:szCs w:val="24"/>
        </w:rPr>
        <w:t xml:space="preserve"> </w:t>
      </w:r>
      <w:r>
        <w:rPr>
          <w:rFonts w:ascii="Arial" w:eastAsia="Arial" w:hAnsi="Arial"/>
          <w:color w:val="000000"/>
          <w:sz w:val="24"/>
          <w:szCs w:val="24"/>
        </w:rPr>
        <w:t>such information as the Buyer may reasonably require relating to the manner in which the Services are organised, which shall include: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13449F" w:rsidRDefault="00A1180C">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w:t>
      </w:r>
      <w:r w:rsidR="00096AB7">
        <w:rPr>
          <w:rFonts w:ascii="Arial" w:eastAsia="Arial" w:hAnsi="Arial"/>
          <w:color w:val="000000"/>
          <w:sz w:val="24"/>
          <w:szCs w:val="24"/>
        </w:rPr>
        <w:t xml:space="preserve"> </w:t>
      </w:r>
      <w:r>
        <w:rPr>
          <w:rFonts w:ascii="Arial" w:eastAsia="Arial" w:hAnsi="Arial"/>
          <w:color w:val="000000"/>
          <w:sz w:val="24"/>
          <w:szCs w:val="24"/>
        </w:rPr>
        <w:t xml:space="preserve">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13449F" w:rsidRDefault="00A1180C">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13449F" w:rsidRDefault="00A1180C">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3449F" w:rsidRDefault="00A1180C">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13449F" w:rsidRDefault="00A1180C">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13449F" w:rsidRDefault="0013449F">
      <w:pPr>
        <w:pBdr>
          <w:top w:val="nil"/>
          <w:left w:val="nil"/>
          <w:bottom w:val="nil"/>
          <w:right w:val="nil"/>
          <w:between w:val="nil"/>
        </w:pBdr>
        <w:spacing w:before="120" w:after="120"/>
        <w:ind w:left="2214" w:hanging="1080"/>
        <w:rPr>
          <w:rFonts w:ascii="Arial" w:eastAsia="Arial" w:hAnsi="Arial"/>
          <w:color w:val="000000"/>
          <w:sz w:val="24"/>
          <w:szCs w:val="24"/>
        </w:rPr>
      </w:pP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34g0dwd"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13449F" w:rsidRDefault="0013449F">
      <w:pPr>
        <w:pBdr>
          <w:top w:val="nil"/>
          <w:left w:val="nil"/>
          <w:bottom w:val="nil"/>
          <w:right w:val="nil"/>
          <w:between w:val="nil"/>
        </w:pBdr>
        <w:spacing w:before="120" w:after="120"/>
        <w:ind w:left="1134" w:hanging="1080"/>
        <w:rPr>
          <w:rFonts w:eastAsia="Calibri" w:cs="Calibri"/>
          <w:color w:val="000000"/>
        </w:rPr>
      </w:pP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 xml:space="preserve">If after the 15 Working Day period specified in Paragraph 2.5.2 has elapsed: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13449F" w:rsidRDefault="00A1180C">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13449F" w:rsidRDefault="00A1180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The indemnity in Paragraph 2.8: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13449F" w:rsidRDefault="00A1180C">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13449F" w:rsidRDefault="00A1180C">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13449F" w:rsidRDefault="00A1180C">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13449F" w:rsidRDefault="00A1180C">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13449F" w:rsidRDefault="00A1180C">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13449F" w:rsidRDefault="00A1180C">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13449F" w:rsidRDefault="00A1180C">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13449F" w:rsidRDefault="0013449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lastRenderedPageBreak/>
        <w:t>The Supplier shall, and shall procure that each Subcontractor shall</w:t>
      </w:r>
      <w:r w:rsidR="00096AB7">
        <w:rPr>
          <w:rFonts w:ascii="Arial" w:eastAsia="Arial" w:hAnsi="Arial"/>
          <w:color w:val="000000"/>
          <w:sz w:val="24"/>
          <w:szCs w:val="24"/>
        </w:rPr>
        <w:t xml:space="preserve">, </w:t>
      </w:r>
      <w:bookmarkStart w:id="77" w:name="_GoBack"/>
      <w:bookmarkEnd w:id="77"/>
      <w:r>
        <w:rPr>
          <w:rFonts w:ascii="Arial" w:eastAsia="Arial" w:hAnsi="Arial"/>
          <w:color w:val="000000"/>
          <w:sz w:val="24"/>
          <w:szCs w:val="24"/>
        </w:rPr>
        <w:t>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13449F" w:rsidRDefault="00A1180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13449F" w:rsidRDefault="00A1180C">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13449F" w:rsidRDefault="00A1180C">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3449F" w:rsidRDefault="00A1180C">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13449F" w:rsidRDefault="00A1180C">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13449F" w:rsidRDefault="00A1180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13449F" w:rsidRDefault="0013449F">
      <w:pPr>
        <w:pBdr>
          <w:top w:val="nil"/>
          <w:left w:val="nil"/>
          <w:bottom w:val="nil"/>
          <w:right w:val="nil"/>
          <w:between w:val="nil"/>
        </w:pBdr>
        <w:spacing w:before="120" w:after="120"/>
        <w:ind w:left="2214" w:hanging="1080"/>
        <w:rPr>
          <w:rFonts w:ascii="Arial" w:eastAsia="Arial" w:hAnsi="Arial"/>
          <w:color w:val="000000"/>
          <w:sz w:val="24"/>
          <w:szCs w:val="24"/>
        </w:rPr>
      </w:pPr>
    </w:p>
    <w:p w:rsidR="0013449F" w:rsidRDefault="00A1180C">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13449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403" w:rsidRDefault="00255403">
      <w:pPr>
        <w:spacing w:after="0"/>
      </w:pPr>
      <w:r>
        <w:separator/>
      </w:r>
    </w:p>
  </w:endnote>
  <w:endnote w:type="continuationSeparator" w:id="0">
    <w:p w:rsidR="00255403" w:rsidRDefault="002554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80C" w:rsidRDefault="00A1180C">
    <w:pPr>
      <w:tabs>
        <w:tab w:val="center" w:pos="4513"/>
        <w:tab w:val="right" w:pos="9026"/>
      </w:tabs>
      <w:spacing w:after="0"/>
      <w:rPr>
        <w:rFonts w:ascii="Arial" w:eastAsia="Arial" w:hAnsi="Arial"/>
        <w:color w:val="A6A6A6"/>
        <w:sz w:val="20"/>
        <w:szCs w:val="20"/>
      </w:rPr>
    </w:pPr>
  </w:p>
  <w:p w:rsidR="00A1180C" w:rsidRDefault="00A1180C">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p>
  <w:p w:rsidR="00A1180C" w:rsidRDefault="00A1180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rsidR="00A1180C" w:rsidRDefault="00A1180C">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80C" w:rsidRDefault="00A1180C">
    <w:pPr>
      <w:tabs>
        <w:tab w:val="center" w:pos="4513"/>
        <w:tab w:val="right" w:pos="9026"/>
      </w:tabs>
      <w:spacing w:after="0"/>
      <w:rPr>
        <w:rFonts w:ascii="Arial" w:eastAsia="Arial" w:hAnsi="Arial"/>
        <w:color w:val="A6A6A6"/>
        <w:sz w:val="20"/>
        <w:szCs w:val="20"/>
      </w:rPr>
    </w:pPr>
  </w:p>
  <w:p w:rsidR="00A1180C" w:rsidRDefault="00A1180C">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A1180C" w:rsidRDefault="00A1180C">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A1180C" w:rsidRDefault="00A1180C">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403" w:rsidRDefault="00255403">
      <w:pPr>
        <w:spacing w:after="0"/>
      </w:pPr>
      <w:r>
        <w:separator/>
      </w:r>
    </w:p>
  </w:footnote>
  <w:footnote w:type="continuationSeparator" w:id="0">
    <w:p w:rsidR="00255403" w:rsidRDefault="00255403">
      <w:pPr>
        <w:spacing w:after="0"/>
      </w:pPr>
      <w:r>
        <w:continuationSeparator/>
      </w:r>
    </w:p>
  </w:footnote>
  <w:footnote w:id="1">
    <w:p w:rsidR="00A1180C" w:rsidRDefault="00A1180C">
      <w:pPr>
        <w:pBdr>
          <w:top w:val="nil"/>
          <w:left w:val="nil"/>
          <w:bottom w:val="nil"/>
          <w:right w:val="nil"/>
          <w:between w:val="nil"/>
        </w:pBdr>
        <w:rPr>
          <w:rFonts w:eastAsia="Calibri" w:cs="Calibri"/>
          <w:color w:val="000000"/>
          <w:sz w:val="20"/>
          <w:szCs w:val="20"/>
        </w:rPr>
      </w:pPr>
    </w:p>
  </w:footnote>
  <w:footnote w:id="2">
    <w:p w:rsidR="00A1180C" w:rsidRDefault="00A1180C">
      <w:pPr>
        <w:pBdr>
          <w:top w:val="nil"/>
          <w:left w:val="nil"/>
          <w:bottom w:val="nil"/>
          <w:right w:val="nil"/>
          <w:between w:val="nil"/>
        </w:pBdr>
        <w:rPr>
          <w:rFonts w:eastAsia="Calibri" w:cs="Calibri"/>
          <w:color w:val="000000"/>
          <w:sz w:val="20"/>
          <w:szCs w:val="20"/>
        </w:rPr>
      </w:pPr>
    </w:p>
  </w:footnote>
  <w:footnote w:id="3">
    <w:p w:rsidR="00A1180C" w:rsidRDefault="00A1180C">
      <w:pPr>
        <w:pBdr>
          <w:top w:val="nil"/>
          <w:left w:val="nil"/>
          <w:bottom w:val="nil"/>
          <w:right w:val="nil"/>
          <w:between w:val="nil"/>
        </w:pBdr>
        <w:rPr>
          <w:rFonts w:eastAsia="Calibri" w:cs="Calibri"/>
          <w:color w:val="000000"/>
          <w:sz w:val="20"/>
          <w:szCs w:val="20"/>
        </w:rPr>
      </w:pPr>
    </w:p>
  </w:footnote>
  <w:footnote w:id="4">
    <w:p w:rsidR="00A1180C" w:rsidRDefault="00A1180C">
      <w:pPr>
        <w:pBdr>
          <w:top w:val="nil"/>
          <w:left w:val="nil"/>
          <w:bottom w:val="nil"/>
          <w:right w:val="nil"/>
          <w:between w:val="nil"/>
        </w:pBdr>
        <w:rPr>
          <w:rFonts w:eastAsia="Calibri" w:cs="Calibri"/>
          <w:color w:val="000000"/>
          <w:sz w:val="20"/>
          <w:szCs w:val="20"/>
        </w:rPr>
      </w:pPr>
    </w:p>
  </w:footnote>
  <w:footnote w:id="5">
    <w:p w:rsidR="00A1180C" w:rsidRDefault="00A1180C">
      <w:pPr>
        <w:pBdr>
          <w:top w:val="nil"/>
          <w:left w:val="nil"/>
          <w:bottom w:val="nil"/>
          <w:right w:val="nil"/>
          <w:between w:val="nil"/>
        </w:pBdr>
        <w:rPr>
          <w:rFonts w:eastAsia="Calibri" w:cs="Calibri"/>
          <w:color w:val="000000"/>
          <w:sz w:val="20"/>
          <w:szCs w:val="20"/>
        </w:rPr>
      </w:pPr>
    </w:p>
  </w:footnote>
  <w:footnote w:id="6">
    <w:p w:rsidR="00A1180C" w:rsidRDefault="00A1180C">
      <w:pPr>
        <w:pBdr>
          <w:top w:val="nil"/>
          <w:left w:val="nil"/>
          <w:bottom w:val="nil"/>
          <w:right w:val="nil"/>
          <w:between w:val="nil"/>
        </w:pBdr>
        <w:rPr>
          <w:rFonts w:eastAsia="Calibri" w:cs="Calibri"/>
          <w:color w:val="000000"/>
          <w:sz w:val="20"/>
          <w:szCs w:val="20"/>
        </w:rPr>
      </w:pPr>
    </w:p>
  </w:footnote>
  <w:footnote w:id="7">
    <w:p w:rsidR="00A1180C" w:rsidRDefault="00A1180C">
      <w:pPr>
        <w:pBdr>
          <w:top w:val="nil"/>
          <w:left w:val="nil"/>
          <w:bottom w:val="nil"/>
          <w:right w:val="nil"/>
          <w:between w:val="nil"/>
        </w:pBdr>
        <w:rPr>
          <w:rFonts w:eastAsia="Calibri" w:cs="Calibri"/>
          <w:color w:val="000000"/>
          <w:sz w:val="20"/>
          <w:szCs w:val="20"/>
        </w:rPr>
      </w:pPr>
    </w:p>
  </w:footnote>
  <w:footnote w:id="8">
    <w:p w:rsidR="00A1180C" w:rsidRDefault="00A1180C">
      <w:pPr>
        <w:pBdr>
          <w:top w:val="nil"/>
          <w:left w:val="nil"/>
          <w:bottom w:val="nil"/>
          <w:right w:val="nil"/>
          <w:between w:val="nil"/>
        </w:pBdr>
        <w:rPr>
          <w:rFonts w:eastAsia="Calibri" w:cs="Calibri"/>
          <w:color w:val="000000"/>
          <w:sz w:val="20"/>
          <w:szCs w:val="20"/>
        </w:rPr>
      </w:pPr>
    </w:p>
  </w:footnote>
  <w:footnote w:id="9">
    <w:p w:rsidR="00A1180C" w:rsidRDefault="00A1180C">
      <w:pPr>
        <w:pBdr>
          <w:top w:val="nil"/>
          <w:left w:val="nil"/>
          <w:bottom w:val="nil"/>
          <w:right w:val="nil"/>
          <w:between w:val="nil"/>
        </w:pBdr>
        <w:rPr>
          <w:rFonts w:eastAsia="Calibri" w:cs="Calibri"/>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80C" w:rsidRDefault="00A1180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A1180C" w:rsidRDefault="00A1180C">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A1180C" w:rsidRDefault="00A1180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A1180C" w:rsidRDefault="00A1180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80C" w:rsidRDefault="00A1180C">
    <w:pPr>
      <w:pBdr>
        <w:top w:val="nil"/>
        <w:left w:val="nil"/>
        <w:bottom w:val="nil"/>
        <w:right w:val="nil"/>
        <w:between w:val="nil"/>
      </w:pBdr>
      <w:tabs>
        <w:tab w:val="center" w:pos="4513"/>
        <w:tab w:val="right" w:pos="9026"/>
      </w:tabs>
      <w:spacing w:after="0"/>
      <w:rPr>
        <w:rFonts w:eastAsia="Calibri" w:cs="Calibri"/>
        <w:color w:val="000000"/>
      </w:rPr>
    </w:pPr>
  </w:p>
  <w:p w:rsidR="00A1180C" w:rsidRDefault="00A1180C">
    <w:pPr>
      <w:pBdr>
        <w:top w:val="nil"/>
        <w:left w:val="nil"/>
        <w:bottom w:val="nil"/>
        <w:right w:val="nil"/>
        <w:between w:val="nil"/>
      </w:pBdr>
      <w:tabs>
        <w:tab w:val="center" w:pos="4513"/>
        <w:tab w:val="right" w:pos="9026"/>
      </w:tabs>
      <w:spacing w:after="0"/>
      <w:rPr>
        <w:rFonts w:eastAsia="Calibri" w:cs="Calibri"/>
        <w:color w:val="000000"/>
      </w:rPr>
    </w:pPr>
  </w:p>
  <w:p w:rsidR="00A1180C" w:rsidRDefault="00A1180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71CE3"/>
    <w:multiLevelType w:val="multilevel"/>
    <w:tmpl w:val="CC7659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51E4F6B"/>
    <w:multiLevelType w:val="multilevel"/>
    <w:tmpl w:val="06624600"/>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96E3533"/>
    <w:multiLevelType w:val="multilevel"/>
    <w:tmpl w:val="4D3A189A"/>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DA74F92"/>
    <w:multiLevelType w:val="multilevel"/>
    <w:tmpl w:val="98F6B50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0BF6B8F"/>
    <w:multiLevelType w:val="multilevel"/>
    <w:tmpl w:val="328C6CE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5BF4BD6"/>
    <w:multiLevelType w:val="multilevel"/>
    <w:tmpl w:val="20C2F6E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6" w15:restartNumberingAfterBreak="0">
    <w:nsid w:val="29B54D2D"/>
    <w:multiLevelType w:val="multilevel"/>
    <w:tmpl w:val="E922847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2B3B26EF"/>
    <w:multiLevelType w:val="multilevel"/>
    <w:tmpl w:val="C9820C20"/>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37945F3A"/>
    <w:multiLevelType w:val="multilevel"/>
    <w:tmpl w:val="222C5E9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F71048E"/>
    <w:multiLevelType w:val="multilevel"/>
    <w:tmpl w:val="BB5ADEC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9DF28BC"/>
    <w:multiLevelType w:val="multilevel"/>
    <w:tmpl w:val="BD3C512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F291F18"/>
    <w:multiLevelType w:val="multilevel"/>
    <w:tmpl w:val="3FE6A88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62FE6C3D"/>
    <w:multiLevelType w:val="multilevel"/>
    <w:tmpl w:val="500A1A9E"/>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B090E0B"/>
    <w:multiLevelType w:val="multilevel"/>
    <w:tmpl w:val="BEF0B75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C8E5507"/>
    <w:multiLevelType w:val="multilevel"/>
    <w:tmpl w:val="6DA0FB0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0861C74"/>
    <w:multiLevelType w:val="multilevel"/>
    <w:tmpl w:val="8A127EB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72340BDD"/>
    <w:multiLevelType w:val="multilevel"/>
    <w:tmpl w:val="7FB25304"/>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377D02"/>
    <w:multiLevelType w:val="multilevel"/>
    <w:tmpl w:val="FAF29B3A"/>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B856A87"/>
    <w:multiLevelType w:val="multilevel"/>
    <w:tmpl w:val="0BD2E0E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2"/>
  </w:num>
  <w:num w:numId="2">
    <w:abstractNumId w:val="10"/>
  </w:num>
  <w:num w:numId="3">
    <w:abstractNumId w:val="11"/>
  </w:num>
  <w:num w:numId="4">
    <w:abstractNumId w:val="6"/>
  </w:num>
  <w:num w:numId="5">
    <w:abstractNumId w:val="3"/>
  </w:num>
  <w:num w:numId="6">
    <w:abstractNumId w:val="5"/>
  </w:num>
  <w:num w:numId="7">
    <w:abstractNumId w:val="0"/>
  </w:num>
  <w:num w:numId="8">
    <w:abstractNumId w:val="16"/>
  </w:num>
  <w:num w:numId="9">
    <w:abstractNumId w:val="2"/>
  </w:num>
  <w:num w:numId="10">
    <w:abstractNumId w:val="4"/>
  </w:num>
  <w:num w:numId="11">
    <w:abstractNumId w:val="1"/>
  </w:num>
  <w:num w:numId="12">
    <w:abstractNumId w:val="13"/>
  </w:num>
  <w:num w:numId="13">
    <w:abstractNumId w:val="14"/>
  </w:num>
  <w:num w:numId="14">
    <w:abstractNumId w:val="17"/>
  </w:num>
  <w:num w:numId="15">
    <w:abstractNumId w:val="8"/>
  </w:num>
  <w:num w:numId="16">
    <w:abstractNumId w:val="7"/>
  </w:num>
  <w:num w:numId="17">
    <w:abstractNumId w:val="9"/>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49F"/>
    <w:rsid w:val="00096AB7"/>
    <w:rsid w:val="0013449F"/>
    <w:rsid w:val="00255403"/>
    <w:rsid w:val="00A118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BB1C5"/>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60</Pages>
  <Words>18881</Words>
  <Characters>107626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Cheryl Hemsley</cp:lastModifiedBy>
  <cp:revision>2</cp:revision>
  <dcterms:created xsi:type="dcterms:W3CDTF">2020-09-21T08:37:00Z</dcterms:created>
  <dcterms:modified xsi:type="dcterms:W3CDTF">2024-04-08T12:42:00Z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